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附件4</w:t>
      </w:r>
    </w:p>
    <w:p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中国新闻奖参评作品推荐表</w:t>
      </w:r>
    </w:p>
    <w:tbl>
      <w:tblPr>
        <w:tblStyle w:val="12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>
            <w:pPr>
              <w:spacing w:line="380" w:lineRule="exact"/>
              <w:jc w:val="both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回村10多天 赶了20多场酒席</w:t>
            </w:r>
          </w:p>
        </w:tc>
        <w:tc>
          <w:tcPr>
            <w:tcW w:w="826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舆论监督报道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>
            <w:pPr>
              <w:spacing w:line="240" w:lineRule="exact"/>
              <w:rPr>
                <w:rFonts w:hint="default" w:ascii="华文中宋" w:hAnsi="华文中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2186字</w:t>
            </w:r>
          </w:p>
        </w:tc>
        <w:tc>
          <w:tcPr>
            <w:tcW w:w="826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spacing w:line="260" w:lineRule="exact"/>
              <w:rPr>
                <w:rFonts w:hint="eastAsia" w:ascii="仿宋_GB2312" w:hAnsi="仿宋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通讯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  <w:t>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华文中宋" w:hAnsi="华文中宋" w:eastAsia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仿宋"/>
                <w:color w:val="000000"/>
                <w:sz w:val="21"/>
                <w:szCs w:val="21"/>
                <w:lang w:val="en-US" w:eastAsia="zh-CN"/>
              </w:rPr>
              <w:t>蒋筱青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杨文娟、王兆伟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中共四川省委《四川党的建设》杂志社</w:t>
            </w:r>
          </w:p>
        </w:tc>
        <w:tc>
          <w:tcPr>
            <w:tcW w:w="1819" w:type="dxa"/>
            <w:gridSpan w:val="3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_GB2312"/>
                <w:color w:val="000000"/>
                <w:sz w:val="18"/>
                <w:szCs w:val="18"/>
                <w:highlight w:val="gree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《四川党的建设》杂志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260" w:lineRule="exact"/>
              <w:rPr>
                <w:rFonts w:hint="default" w:ascii="仿宋_GB2312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eastAsia="zh-CN"/>
              </w:rPr>
              <w:t>“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社会棱镜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eastAsia="zh-CN"/>
              </w:rPr>
              <w:t>”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  <w:lang w:val="en-US" w:eastAsia="zh-CN"/>
              </w:rPr>
              <w:t>栏目</w:t>
            </w:r>
          </w:p>
        </w:tc>
        <w:tc>
          <w:tcPr>
            <w:tcW w:w="9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2024年4月20日（2024年4月下/08期）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>
            <w:pPr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instrText xml:space="preserve"> HYPERLINK "https://www.scdjw.com.cn/article/128866" </w:instrText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17"/>
                <w:rFonts w:hint="eastAsia" w:ascii="仿宋" w:hAnsi="仿宋" w:eastAsia="仿宋"/>
                <w:color w:val="000000"/>
                <w:sz w:val="20"/>
                <w:szCs w:val="20"/>
              </w:rPr>
              <w:t>https://www.scdjw.com.cn/article/128866</w:t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>
            <w:pPr>
              <w:spacing w:line="260" w:lineRule="exact"/>
              <w:rPr>
                <w:rFonts w:hint="eastAsia" w:ascii="华文中宋" w:hAnsi="华文中宋" w:eastAsia="华文中宋"/>
                <w:color w:val="auto"/>
                <w:sz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420" w:firstLineChars="200"/>
              <w:textAlignment w:val="auto"/>
              <w:rPr>
                <w:rFonts w:hint="eastAsia" w:ascii="仿宋" w:hAnsi="仿宋" w:eastAsia="仿宋" w:cs="仿宋"/>
                <w:color w:val="0000FF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2024年春节期间，四川部分地方农村滥办酒席风气回潮，以买车酒、修坟酒等各种名目举办的酒席盛行，且大多为“重复酒”“无事酒”，加重了群众人情负担，在网上引发广泛热议。网友直言：“外出务工挣钱不容易，这种风气要不得。”</w:t>
            </w:r>
            <w:r>
              <w:rPr>
                <w:rFonts w:hint="eastAsia" w:ascii="仿宋" w:hAnsi="仿宋" w:eastAsia="仿宋" w:cs="仿宋"/>
                <w:color w:val="0000FF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420" w:firstLineChars="200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记者紧跟网上舆论追踪采访，在达州、巴中、泸州等多地农村了解滥办酒席真实状况。同时，在采访中没有停留在现象表面，继续追问“反感之余，为何村民仍选择随礼参加酒席”“相关部门出台举措后，‘无事酒’为何仍难根治”，将村民的苦恼、相关部门的回应客观、真实地予以呈现。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420" w:firstLineChars="200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此外，这篇舆论监督报道在提问之余，努力寻找解决之道。记者采访基层治理领域专家，从“系统治理”角度为相关部门和村民自治组织提供借鉴。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420" w:firstLineChars="200"/>
              <w:textAlignment w:val="auto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该报道首发于“川观新闻”客户端，在四川日报、《四川党的建设》杂志发布后，被四川党建网、四川在线、“文明四川”微信公众号等主流媒体平台转发，网络浏览量超过10万+，获得了可观的社会关注度和讨论度。网友评论：“确实感同身受！需要进一步综合施策、系统治理，从根本上改变社会不良风气。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</w:trPr>
        <w:tc>
          <w:tcPr>
            <w:tcW w:w="113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0"/>
                <w:szCs w:val="13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instrText xml:space="preserve"> HYPERLINK "https://cbgc.scol.com.cn/news/4872262?from=androidapp&amp;app_id=cbgc&amp;localTimeStamp=1742780932663" </w:instrTex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fldChar w:fldCharType="separate"/>
            </w:r>
            <w:r>
              <w:rPr>
                <w:rStyle w:val="17"/>
                <w:rFonts w:hint="eastAsia" w:ascii="仿宋" w:hAnsi="仿宋" w:eastAsia="仿宋"/>
                <w:color w:val="000000"/>
                <w:sz w:val="20"/>
                <w:szCs w:val="13"/>
              </w:rPr>
              <w:t>https://cbgc.scol.com.cn/news/4872262?from=androidapp&amp;app_id=cbgc&amp;localTimeStamp=1742780932663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fldChar w:fldCharType="end"/>
            </w:r>
          </w:p>
          <w:p>
            <w:pPr>
              <w:rPr>
                <w:rFonts w:hint="eastAsia" w:ascii="仿宋" w:hAnsi="仿宋" w:eastAsia="仿宋"/>
                <w:color w:val="000000"/>
                <w:sz w:val="20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fldChar w:fldCharType="begin"/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instrText xml:space="preserve"> HYPERLINK "https://www.scdjw.com.cn/article/128866" </w:instrText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fldChar w:fldCharType="separate"/>
            </w:r>
            <w:r>
              <w:rPr>
                <w:rStyle w:val="17"/>
                <w:rFonts w:hint="eastAsia" w:ascii="仿宋" w:hAnsi="仿宋" w:eastAsia="仿宋"/>
                <w:color w:val="000000"/>
                <w:sz w:val="20"/>
                <w:szCs w:val="20"/>
              </w:rPr>
              <w:t>https://www.scdjw.com.cn/article/128866</w:t>
            </w:r>
            <w:r>
              <w:rPr>
                <w:rFonts w:hint="eastAsia" w:ascii="仿宋" w:hAnsi="仿宋" w:eastAsia="仿宋"/>
                <w:color w:val="000000"/>
                <w:sz w:val="20"/>
                <w:szCs w:val="20"/>
              </w:rPr>
              <w:fldChar w:fldCharType="end"/>
            </w:r>
          </w:p>
          <w:p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113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100513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320</w:t>
            </w:r>
          </w:p>
        </w:tc>
        <w:tc>
          <w:tcPr>
            <w:tcW w:w="992" w:type="dxa"/>
            <w:vAlign w:val="center"/>
          </w:tcPr>
          <w:p>
            <w:pP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互动量</w:t>
            </w:r>
          </w:p>
        </w:tc>
        <w:tc>
          <w:tcPr>
            <w:tcW w:w="1549" w:type="dxa"/>
            <w:vAlign w:val="center"/>
          </w:tcPr>
          <w:p>
            <w:pPr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  <w:p>
            <w:pPr>
              <w:spacing w:line="260" w:lineRule="exact"/>
              <w:ind w:firstLine="420" w:firstLineChars="200"/>
              <w:rPr>
                <w:rFonts w:ascii="仿宋_GB2312" w:hAnsi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记者紧跟网上舆论深入基层报道，从现象入手探寻背后成因、剖析治理难点，及时回应群众关心关切的热点话题，问题聚焦、结构完整、逻辑清晰。同时，报道不仅提出问题，还层层递进、理性分析，寻找解题之道，体现了舆论监督报道的现实意义。</w:t>
            </w: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eastAsia="zh-CN"/>
              </w:rPr>
            </w:pPr>
          </w:p>
          <w:p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eastAsia="zh-CN"/>
              </w:rPr>
            </w:pPr>
            <w:bookmarkStart w:id="1" w:name="_GoBack"/>
            <w:bookmarkEnd w:id="1"/>
          </w:p>
          <w:p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签名：</w:t>
            </w: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lang w:val="en-US" w:eastAsia="zh-CN"/>
              </w:rPr>
              <w:t xml:space="preserve">   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>2025年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3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24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>
      <w:pPr>
        <w:rPr>
          <w:rFonts w:ascii="华文仿宋" w:hAnsi="华文仿宋" w:eastAsia="华文仿宋"/>
          <w:color w:val="000000"/>
          <w:szCs w:val="32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247" w:bottom="1134" w:left="1247" w:header="851" w:footer="1418" w:gutter="0"/>
          <w:pgNumType w:fmt="numberInDash"/>
          <w:cols w:space="425" w:num="1"/>
          <w:docGrid w:type="lines" w:linePitch="312" w:charSpace="0"/>
        </w:sectPr>
      </w:pPr>
    </w:p>
    <w:p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中国新闻奖自荐、他荐作品推荐表</w:t>
      </w:r>
    </w:p>
    <w:tbl>
      <w:tblPr>
        <w:tblStyle w:val="12"/>
        <w:tblW w:w="9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280"/>
        <w:gridCol w:w="391"/>
        <w:gridCol w:w="212"/>
        <w:gridCol w:w="8"/>
        <w:gridCol w:w="805"/>
        <w:gridCol w:w="411"/>
        <w:gridCol w:w="352"/>
        <w:gridCol w:w="1089"/>
        <w:gridCol w:w="425"/>
        <w:gridCol w:w="559"/>
        <w:gridCol w:w="430"/>
        <w:gridCol w:w="816"/>
        <w:gridCol w:w="532"/>
        <w:gridCol w:w="207"/>
        <w:gridCol w:w="616"/>
        <w:gridCol w:w="376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</w:trPr>
        <w:tc>
          <w:tcPr>
            <w:tcW w:w="144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4079" w:type="dxa"/>
            <w:gridSpan w:val="8"/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sz w:val="28"/>
              </w:rPr>
            </w:pPr>
          </w:p>
        </w:tc>
        <w:tc>
          <w:tcPr>
            <w:tcW w:w="816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参评项目</w:t>
            </w:r>
          </w:p>
        </w:tc>
        <w:tc>
          <w:tcPr>
            <w:tcW w:w="3292" w:type="dxa"/>
            <w:gridSpan w:val="5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441" w:type="dxa"/>
            <w:gridSpan w:val="4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4079" w:type="dxa"/>
            <w:gridSpan w:val="8"/>
            <w:vMerge w:val="restart"/>
            <w:vAlign w:val="center"/>
          </w:tcPr>
          <w:p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文字作品填报字数以WORD“字数统计”栏“字数”项为准；广电作品填报时长；系列、集纳式作品填报3件代表作字数或时长之和；新媒体作品可分别填报字数和时长，以分号隔开。</w:t>
            </w:r>
          </w:p>
        </w:tc>
        <w:tc>
          <w:tcPr>
            <w:tcW w:w="816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92" w:type="dxa"/>
            <w:gridSpan w:val="5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参评专门奖项的作品在本栏内填报作品体裁。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44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079" w:type="dxa"/>
            <w:gridSpan w:val="8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16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9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44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4079" w:type="dxa"/>
            <w:gridSpan w:val="8"/>
            <w:vAlign w:val="center"/>
          </w:tcPr>
          <w:p>
            <w:pPr>
              <w:spacing w:line="260" w:lineRule="exact"/>
              <w:rPr>
                <w:rFonts w:ascii="仿宋_GB2312" w:hAnsi="华文中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按“集体”申报的，须附对作品做出主要贡献的人员名单。副部级以上领导干部不参评。</w:t>
            </w:r>
          </w:p>
        </w:tc>
        <w:tc>
          <w:tcPr>
            <w:tcW w:w="816" w:type="dxa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92" w:type="dxa"/>
            <w:gridSpan w:val="5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超过3人的，按“集体”申报。按“集体”申报的，须附对作品做出主要贡献的人员名单。副部级以上领导干部不参评。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4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090" w:type="dxa"/>
            <w:gridSpan w:val="6"/>
            <w:vAlign w:val="center"/>
          </w:tcPr>
          <w:p>
            <w:pPr>
              <w:spacing w:line="260" w:lineRule="exact"/>
              <w:ind w:firstLine="420"/>
              <w:rPr>
                <w:rFonts w:ascii="仿宋_GB2312" w:hAnsi="仿宋"/>
                <w:color w:val="000000"/>
                <w:szCs w:val="21"/>
              </w:rPr>
            </w:pPr>
          </w:p>
        </w:tc>
        <w:tc>
          <w:tcPr>
            <w:tcW w:w="1805" w:type="dxa"/>
            <w:gridSpan w:val="3"/>
            <w:vAlign w:val="center"/>
          </w:tcPr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>
            <w:pPr>
              <w:spacing w:line="260" w:lineRule="exact"/>
              <w:rPr>
                <w:rFonts w:ascii="华文中宋" w:hAnsi="华文中宋" w:eastAsia="华文中宋"/>
                <w:color w:val="000000"/>
                <w:sz w:val="21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92" w:type="dxa"/>
            <w:gridSpan w:val="5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</w:trPr>
        <w:tc>
          <w:tcPr>
            <w:tcW w:w="144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3090" w:type="dxa"/>
            <w:gridSpan w:val="6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广电作品填报频率、频道以及栏目名称。</w:t>
            </w:r>
          </w:p>
        </w:tc>
        <w:tc>
          <w:tcPr>
            <w:tcW w:w="98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8" w:type="dxa"/>
            <w:gridSpan w:val="6"/>
            <w:vAlign w:val="center"/>
          </w:tcPr>
          <w:p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  <w:t>广电作品填报×月×日×时×分，系列、连续报道填写起止日期。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44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新媒体作品网址</w:t>
            </w:r>
          </w:p>
        </w:tc>
        <w:tc>
          <w:tcPr>
            <w:tcW w:w="8179" w:type="dxa"/>
            <w:gridSpan w:val="13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填报作品首屏网址，网络专题等集纳式作品、新媒体系列作品同时提供3件代表作网址。相关二维码附后。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</w:trPr>
        <w:tc>
          <w:tcPr>
            <w:tcW w:w="3017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自荐作品所获奖项名称</w:t>
            </w:r>
          </w:p>
        </w:tc>
        <w:tc>
          <w:tcPr>
            <w:tcW w:w="6611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省部级、中央主要新闻单位年度二等奖以上奖励或入选“三好作品”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5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推荐人</w:t>
            </w:r>
          </w:p>
        </w:tc>
        <w:tc>
          <w:tcPr>
            <w:tcW w:w="67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2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5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6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5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6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单位及职称</w:t>
            </w:r>
          </w:p>
        </w:tc>
        <w:tc>
          <w:tcPr>
            <w:tcW w:w="27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229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自荐人姓名</w:t>
            </w:r>
          </w:p>
        </w:tc>
        <w:tc>
          <w:tcPr>
            <w:tcW w:w="1788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089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762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823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电话</w:t>
            </w:r>
          </w:p>
        </w:tc>
        <w:tc>
          <w:tcPr>
            <w:tcW w:w="193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exact"/>
        </w:trPr>
        <w:tc>
          <w:tcPr>
            <w:tcW w:w="83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90" w:type="dxa"/>
            <w:gridSpan w:val="16"/>
            <w:vAlign w:val="center"/>
          </w:tcPr>
          <w:p>
            <w:pPr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填报作品采编制作等情况。不超过300字。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83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90" w:type="dxa"/>
            <w:gridSpan w:val="16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填报作品刊播后的社会影响，不超过300字。参评国际传播的作品，同时填报境外落地、引用、反响等国际传播效果情况，附证明依据链接或截图等（可另附页）。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838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6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11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963" w:type="dxa"/>
            <w:gridSpan w:val="11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报纸、期刊、广播、电视作品如未在新媒体传播平台发布，可空缺；国际传播作品填报境外平台传播数据。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83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11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963" w:type="dxa"/>
            <w:gridSpan w:val="11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83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Merge w:val="continue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11" w:type="dxa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963" w:type="dxa"/>
            <w:gridSpan w:val="11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</w:trPr>
        <w:tc>
          <w:tcPr>
            <w:tcW w:w="838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6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7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559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61" w:type="dxa"/>
            <w:vAlign w:val="center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exact"/>
        </w:trPr>
        <w:tc>
          <w:tcPr>
            <w:tcW w:w="838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推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荐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理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由</w:t>
            </w:r>
          </w:p>
        </w:tc>
        <w:tc>
          <w:tcPr>
            <w:tcW w:w="8790" w:type="dxa"/>
            <w:gridSpan w:val="16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b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ascii="仿宋" w:hAnsi="仿宋" w:eastAsia="仿宋"/>
                <w:b/>
                <w:color w:val="000000"/>
                <w:szCs w:val="21"/>
              </w:rPr>
            </w:pPr>
          </w:p>
          <w:p>
            <w:pPr>
              <w:ind w:firstLine="422" w:firstLineChars="150"/>
              <w:rPr>
                <w:rFonts w:ascii="仿宋" w:hAnsi="仿宋" w:eastAsia="仿宋"/>
                <w:b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0"/>
              </w:rPr>
              <w:t>推荐人签名：</w:t>
            </w:r>
          </w:p>
          <w:p>
            <w:pPr>
              <w:ind w:firstLine="240" w:firstLineChars="100"/>
              <w:rPr>
                <w:rFonts w:ascii="仿宋" w:hAnsi="仿宋" w:eastAsia="仿宋"/>
                <w:b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（3名，新闻专业正高职称，无作品参加本届评选）</w:t>
            </w:r>
          </w:p>
          <w:p>
            <w:pPr>
              <w:ind w:firstLine="316" w:firstLineChars="150"/>
              <w:rPr>
                <w:rFonts w:ascii="仿宋" w:hAnsi="仿宋" w:eastAsia="仿宋"/>
                <w:b/>
                <w:color w:val="000000"/>
                <w:sz w:val="21"/>
                <w:szCs w:val="21"/>
              </w:rPr>
            </w:pPr>
          </w:p>
          <w:p>
            <w:pPr>
              <w:ind w:firstLine="422" w:firstLineChars="150"/>
              <w:rPr>
                <w:rFonts w:ascii="仿宋" w:hAnsi="仿宋" w:eastAsia="仿宋"/>
                <w:b/>
                <w:color w:val="000000"/>
                <w:sz w:val="28"/>
                <w:szCs w:val="2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28"/>
                <w:szCs w:val="20"/>
              </w:rPr>
              <w:t>自荐、他荐人签名：</w:t>
            </w:r>
          </w:p>
          <w:p>
            <w:pPr>
              <w:ind w:firstLine="240" w:firstLineChars="10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（单位推荐的，由单位负责人签名并加盖单位公章）</w:t>
            </w:r>
          </w:p>
          <w:p>
            <w:pPr>
              <w:ind w:firstLine="422"/>
              <w:rPr>
                <w:rFonts w:ascii="仿宋_GB2312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</w:t>
            </w:r>
            <w:r>
              <w:rPr>
                <w:rFonts w:hint="eastAsia" w:ascii="仿宋" w:hAnsi="仿宋" w:eastAsia="仿宋"/>
                <w:color w:val="000000"/>
                <w:szCs w:val="32"/>
              </w:rPr>
              <w:t xml:space="preserve">   2025年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exact"/>
        </w:trPr>
        <w:tc>
          <w:tcPr>
            <w:tcW w:w="83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审核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  <w:p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意见</w:t>
            </w:r>
          </w:p>
        </w:tc>
        <w:tc>
          <w:tcPr>
            <w:tcW w:w="8790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  <w:p>
            <w:pPr>
              <w:ind w:firstLine="420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自荐、他荐人所在的省级记协、中央新闻单位或中国行业报协会等负责对作品政治方向、舆论导向、业务水平及报送材料审核把关并盖章确认。</w:t>
            </w:r>
          </w:p>
          <w:p>
            <w:pPr>
              <w:ind w:firstLine="9156" w:firstLineChars="28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（</w:t>
            </w:r>
            <w:r>
              <w:rPr>
                <w:rFonts w:hint="eastAsia" w:ascii="仿宋_GB2312" w:hAnsi="仿宋"/>
                <w:color w:val="000000"/>
                <w:sz w:val="24"/>
                <w:szCs w:val="18"/>
              </w:rPr>
              <w:t>单位主要负责人签名并加盖单位公章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）</w:t>
            </w:r>
          </w:p>
          <w:p>
            <w:pPr>
              <w:ind w:firstLine="42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2025年</w:t>
            </w:r>
            <w:r>
              <w:rPr>
                <w:rFonts w:ascii="仿宋" w:hAnsi="仿宋" w:eastAsia="仿宋"/>
                <w:color w:val="000000"/>
                <w:szCs w:val="21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月   日</w:t>
            </w:r>
          </w:p>
          <w:p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</w:trPr>
        <w:tc>
          <w:tcPr>
            <w:tcW w:w="9628" w:type="dxa"/>
            <w:gridSpan w:val="18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此表可从中国记协网www.zgjx.cn下载。</w:t>
            </w:r>
          </w:p>
        </w:tc>
      </w:tr>
    </w:tbl>
    <w:p>
      <w:pPr>
        <w:ind w:firstLine="198" w:firstLineChars="71"/>
        <w:rPr>
          <w:rFonts w:ascii="楷体" w:hAnsi="楷体" w:eastAsia="楷体"/>
          <w:color w:val="000000"/>
          <w:sz w:val="28"/>
        </w:rPr>
        <w:sectPr>
          <w:headerReference r:id="rId7" w:type="default"/>
          <w:headerReference r:id="rId8" w:type="even"/>
          <w:pgSz w:w="11906" w:h="16838"/>
          <w:pgMar w:top="1440" w:right="1247" w:bottom="1440" w:left="1247" w:header="851" w:footer="1418" w:gutter="0"/>
          <w:pgNumType w:fmt="numberInDash"/>
          <w:cols w:space="425" w:num="1"/>
          <w:docGrid w:type="lines" w:linePitch="312" w:charSpace="0"/>
        </w:sectPr>
      </w:pPr>
    </w:p>
    <w:p>
      <w:pPr>
        <w:spacing w:after="217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参评作品推荐表填报说明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一、作品标题：应与刊播作品一致，有副标题、肩题等形式标题的作品，填报主标题。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二、参评项目：按照评选办法20个“评选项目”填报。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三、体裁：参评专门奖项的作品在本栏内填报作品体裁。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四、语种：作品为中文以外的语言文字，应填报语种。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五、作者、编辑：严格按规定填报作者（主创人员）和编辑姓名。按“集体”申报的，应附做出主要贡献的人员名单。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六、原创单位：填报新闻单位名称，不包括内设部门、频道、频率等。</w:t>
      </w:r>
    </w:p>
    <w:p>
      <w:pPr>
        <w:spacing w:line="560" w:lineRule="exact"/>
        <w:ind w:firstLine="641"/>
        <w:outlineLvl w:val="1"/>
        <w:rPr>
          <w:rFonts w:ascii="仿宋" w:hAnsi="仿宋" w:eastAsia="华文中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七、发布端/账号/媒体名称：填报参评作品发布时的平台端口、账号名称或媒体名称。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八、刊播版面（名称和版次）：报纸作品填报版面名称和版次；广播、电视作品填报栏目或专题节目名称</w:t>
      </w:r>
      <w:bookmarkStart w:id="0" w:name="_Hlk185413364"/>
      <w:r>
        <w:rPr>
          <w:rFonts w:hint="eastAsia" w:ascii="仿宋" w:hAnsi="仿宋" w:eastAsia="仿宋" w:cs="仿宋"/>
          <w:bCs/>
          <w:color w:val="000000"/>
          <w:szCs w:val="32"/>
        </w:rPr>
        <w:t>；通讯社、期刊、新媒体作品可不填报</w:t>
      </w:r>
      <w:bookmarkEnd w:id="0"/>
      <w:r>
        <w:rPr>
          <w:rFonts w:hint="eastAsia" w:ascii="仿宋" w:hAnsi="仿宋" w:eastAsia="仿宋" w:cs="仿宋"/>
          <w:bCs/>
          <w:color w:val="000000"/>
          <w:szCs w:val="32"/>
        </w:rPr>
        <w:t>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九、刊播日期：报纸作品填报见报日期；通讯社作品填报发稿日期；广播、电视作品填报播出日期和时间；期刊作品填报年度刊期；新媒体作品填报发布日期和时间。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十、新媒体</w:t>
      </w:r>
      <w:r>
        <w:rPr>
          <w:rFonts w:ascii="仿宋" w:hAnsi="仿宋" w:eastAsia="仿宋" w:cs="仿宋"/>
          <w:bCs/>
          <w:color w:val="000000"/>
          <w:szCs w:val="32"/>
        </w:rPr>
        <w:t>作品网址</w:t>
      </w:r>
      <w:r>
        <w:rPr>
          <w:rFonts w:hint="eastAsia" w:ascii="仿宋" w:hAnsi="仿宋" w:eastAsia="仿宋" w:cs="仿宋"/>
          <w:bCs/>
          <w:color w:val="000000"/>
          <w:szCs w:val="32"/>
        </w:rPr>
        <w:t>：扫描二维码后</w:t>
      </w:r>
      <w:r>
        <w:rPr>
          <w:rFonts w:ascii="仿宋" w:hAnsi="仿宋" w:eastAsia="仿宋" w:cs="仿宋"/>
          <w:bCs/>
          <w:color w:val="000000"/>
          <w:szCs w:val="32"/>
        </w:rPr>
        <w:t>，填</w:t>
      </w:r>
      <w:r>
        <w:rPr>
          <w:rFonts w:hint="eastAsia" w:ascii="仿宋" w:hAnsi="仿宋" w:eastAsia="仿宋" w:cs="仿宋"/>
          <w:bCs/>
          <w:color w:val="000000"/>
          <w:szCs w:val="32"/>
        </w:rPr>
        <w:t>报</w:t>
      </w:r>
      <w:r>
        <w:rPr>
          <w:rFonts w:ascii="仿宋" w:hAnsi="仿宋" w:eastAsia="仿宋" w:cs="仿宋"/>
          <w:bCs/>
          <w:color w:val="000000"/>
          <w:szCs w:val="32"/>
        </w:rPr>
        <w:t>显示出的网址。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十一</w:t>
      </w:r>
      <w:r>
        <w:rPr>
          <w:rFonts w:ascii="仿宋" w:hAnsi="仿宋" w:eastAsia="仿宋" w:cs="仿宋"/>
          <w:bCs/>
          <w:color w:val="000000"/>
          <w:szCs w:val="32"/>
        </w:rPr>
        <w:t>、</w:t>
      </w:r>
      <w:r>
        <w:rPr>
          <w:rFonts w:hint="eastAsia" w:ascii="仿宋" w:hAnsi="仿宋" w:eastAsia="仿宋" w:cs="仿宋"/>
          <w:bCs/>
          <w:color w:val="000000"/>
          <w:szCs w:val="32"/>
        </w:rPr>
        <w:t>采编过程（作品简介）：填报作品采编制作等情况，不超过300字（以</w:t>
      </w:r>
      <w:r>
        <w:rPr>
          <w:rFonts w:ascii="仿宋" w:hAnsi="仿宋" w:eastAsia="仿宋" w:cs="仿宋"/>
          <w:bCs/>
          <w:color w:val="000000"/>
          <w:szCs w:val="32"/>
        </w:rPr>
        <w:t>Word字数统计为准</w:t>
      </w:r>
      <w:r>
        <w:rPr>
          <w:rFonts w:hint="eastAsia" w:ascii="仿宋" w:hAnsi="仿宋" w:eastAsia="仿宋" w:cs="仿宋"/>
          <w:bCs/>
          <w:color w:val="000000"/>
          <w:szCs w:val="32"/>
        </w:rPr>
        <w:t>，下同）。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十二、社会效果：</w:t>
      </w:r>
      <w:r>
        <w:rPr>
          <w:rFonts w:hint="eastAsia" w:ascii="仿宋" w:hAnsi="仿宋" w:eastAsia="仿宋" w:cs="仿宋"/>
          <w:color w:val="000000"/>
          <w:szCs w:val="21"/>
        </w:rPr>
        <w:t>填报作品刊播后的社会影响，不超过300字。参评国际传播的作品，同时填报境外落地、引用、反响等国际传播效果情况，附证明依据链接或截图等（可另附页）。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十三、传播数据：</w:t>
      </w:r>
      <w:r>
        <w:rPr>
          <w:rFonts w:hint="eastAsia" w:ascii="仿宋" w:hAnsi="仿宋" w:eastAsia="仿宋" w:cs="宋体"/>
          <w:szCs w:val="32"/>
          <w:lang w:bidi="ar"/>
        </w:rPr>
        <w:t>填报新媒体传播平台网址（3个）和阅读量</w:t>
      </w:r>
      <w:r>
        <w:rPr>
          <w:rFonts w:hint="eastAsia" w:ascii="仿宋" w:hAnsi="仿宋" w:eastAsia="仿宋" w:cs="宋体"/>
          <w:color w:val="000000"/>
          <w:spacing w:val="-2"/>
          <w:szCs w:val="32"/>
          <w:shd w:val="clear" w:color="auto" w:fill="FFFFFF"/>
          <w:lang w:bidi="ar"/>
        </w:rPr>
        <w:t>（浏览量、点击量）</w:t>
      </w:r>
      <w:r>
        <w:rPr>
          <w:rFonts w:hint="eastAsia" w:ascii="仿宋" w:hAnsi="仿宋" w:eastAsia="仿宋" w:cs="宋体"/>
          <w:szCs w:val="32"/>
          <w:lang w:bidi="ar"/>
        </w:rPr>
        <w:t>、转载量、互动量具体数据。报纸、期刊、广播、电视作品如未在新媒体传播平台发布，可空缺；国际传播作品填报境外平台传播数据。</w:t>
      </w:r>
    </w:p>
    <w:p>
      <w:pPr>
        <w:spacing w:line="560" w:lineRule="exact"/>
        <w:ind w:firstLine="641"/>
        <w:outlineLvl w:val="1"/>
        <w:rPr>
          <w:rFonts w:ascii="仿宋" w:hAnsi="仿宋" w:eastAsia="仿宋" w:cs="仿宋"/>
          <w:bCs/>
          <w:color w:val="000000"/>
          <w:szCs w:val="32"/>
        </w:rPr>
      </w:pPr>
      <w:r>
        <w:rPr>
          <w:rFonts w:hint="eastAsia" w:ascii="仿宋" w:hAnsi="仿宋" w:eastAsia="仿宋" w:cs="仿宋"/>
          <w:bCs/>
          <w:color w:val="000000"/>
          <w:szCs w:val="32"/>
        </w:rPr>
        <w:t>十四、推荐理由：报送单位填报初评委员会对作品的推荐理由。自荐、他荐参评的，由推荐人填写。</w:t>
      </w:r>
    </w:p>
    <w:p>
      <w:pPr>
        <w:spacing w:line="560" w:lineRule="exact"/>
        <w:ind w:firstLine="641"/>
        <w:outlineLvl w:val="1"/>
        <w:rPr>
          <w:rFonts w:ascii="华文仿宋" w:hAnsi="华文仿宋" w:eastAsia="华文仿宋"/>
          <w:bCs/>
          <w:color w:val="000000"/>
          <w:szCs w:val="32"/>
        </w:rPr>
        <w:sectPr>
          <w:headerReference r:id="rId9" w:type="default"/>
          <w:headerReference r:id="rId10" w:type="even"/>
          <w:pgSz w:w="11906" w:h="16838"/>
          <w:pgMar w:top="1701" w:right="1418" w:bottom="1361" w:left="1418" w:header="851" w:footer="1134" w:gutter="0"/>
          <w:pgNumType w:fmt="numberInDash"/>
          <w:cols w:space="425" w:num="1"/>
          <w:docGrid w:type="lines" w:linePitch="435" w:charSpace="0"/>
        </w:sectPr>
      </w:pPr>
      <w:r>
        <w:rPr>
          <w:rFonts w:hint="eastAsia" w:ascii="仿宋" w:hAnsi="仿宋" w:eastAsia="仿宋" w:cs="仿宋"/>
          <w:bCs/>
          <w:color w:val="000000"/>
          <w:szCs w:val="32"/>
        </w:rPr>
        <w:t>十五、审核单位意见：自荐、他荐参评的，由作品单位所在报送单位对作品政治方向、舆论导向、业务水平，以及报送材料审核把关，经该单位主要负责人签名确认，加盖单位公章。</w:t>
      </w:r>
    </w:p>
    <w:p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11" w:type="default"/>
      <w:footerReference r:id="rId12" w:type="default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94476599"/>
    </w:sdtPr>
    <w:sdtEndPr>
      <w:rPr>
        <w:rFonts w:ascii="仿宋" w:hAnsi="仿宋" w:eastAsia="仿宋"/>
        <w:sz w:val="24"/>
      </w:rPr>
    </w:sdtEndPr>
    <w:sdtContent>
      <w:p>
        <w:pPr>
          <w:pStyle w:val="8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19 -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>
        <w:pPr>
          <w:pStyle w:val="8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>
        <w:pPr>
          <w:pStyle w:val="8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mYjQ3MjA5YzI1NDFlM2I0ZTBhMWY1ZDBiYzI2MmEifQ=="/>
  </w:docVars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D5176AB"/>
    <w:rsid w:val="0F255D55"/>
    <w:rsid w:val="0F7F0EA5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5372C5"/>
    <w:rsid w:val="3B6BE7B6"/>
    <w:rsid w:val="3BEA624A"/>
    <w:rsid w:val="3BFF18CE"/>
    <w:rsid w:val="3C1E7B27"/>
    <w:rsid w:val="3DEE90AB"/>
    <w:rsid w:val="3F9F0BD7"/>
    <w:rsid w:val="3FDD0733"/>
    <w:rsid w:val="3FFF6105"/>
    <w:rsid w:val="42954041"/>
    <w:rsid w:val="449301E8"/>
    <w:rsid w:val="467F7B33"/>
    <w:rsid w:val="4B94077D"/>
    <w:rsid w:val="4E1161B7"/>
    <w:rsid w:val="4F7A1CAF"/>
    <w:rsid w:val="4FD20CC7"/>
    <w:rsid w:val="51FC00CA"/>
    <w:rsid w:val="575FFACA"/>
    <w:rsid w:val="57E3A12B"/>
    <w:rsid w:val="5D1C32F2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5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6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3"/>
    <w:next w:val="3"/>
    <w:link w:val="26"/>
    <w:semiHidden/>
    <w:unhideWhenUsed/>
    <w:qFormat/>
    <w:uiPriority w:val="99"/>
    <w:rPr>
      <w:b/>
      <w:bCs/>
    </w:rPr>
  </w:style>
  <w:style w:type="paragraph" w:styleId="11">
    <w:name w:val="Body Text First Indent 2"/>
    <w:basedOn w:val="5"/>
    <w:unhideWhenUsed/>
    <w:qFormat/>
    <w:uiPriority w:val="99"/>
    <w:pPr>
      <w:ind w:firstLine="420" w:firstLineChars="2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page number"/>
    <w:basedOn w:val="14"/>
    <w:qFormat/>
    <w:uiPriority w:val="0"/>
  </w:style>
  <w:style w:type="character" w:styleId="16">
    <w:name w:val="FollowedHyperlink"/>
    <w:basedOn w:val="14"/>
    <w:qFormat/>
    <w:uiPriority w:val="0"/>
    <w:rPr>
      <w:color w:val="800080"/>
      <w:u w:val="single"/>
    </w:rPr>
  </w:style>
  <w:style w:type="character" w:styleId="17">
    <w:name w:val="Hyperlink"/>
    <w:basedOn w:val="14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8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9">
    <w:name w:val="页眉 Char"/>
    <w:basedOn w:val="14"/>
    <w:link w:val="9"/>
    <w:qFormat/>
    <w:uiPriority w:val="99"/>
    <w:rPr>
      <w:sz w:val="18"/>
      <w:szCs w:val="18"/>
    </w:rPr>
  </w:style>
  <w:style w:type="character" w:customStyle="1" w:styleId="20">
    <w:name w:val="页脚 Char"/>
    <w:basedOn w:val="14"/>
    <w:link w:val="8"/>
    <w:qFormat/>
    <w:uiPriority w:val="99"/>
    <w:rPr>
      <w:sz w:val="18"/>
      <w:szCs w:val="18"/>
    </w:rPr>
  </w:style>
  <w:style w:type="character" w:customStyle="1" w:styleId="21">
    <w:name w:val="日期 Char"/>
    <w:basedOn w:val="14"/>
    <w:link w:val="6"/>
    <w:semiHidden/>
    <w:qFormat/>
    <w:uiPriority w:val="99"/>
  </w:style>
  <w:style w:type="paragraph" w:styleId="22">
    <w:name w:val="List Paragraph"/>
    <w:basedOn w:val="1"/>
    <w:qFormat/>
    <w:uiPriority w:val="34"/>
    <w:pPr>
      <w:ind w:firstLine="420" w:firstLineChars="200"/>
    </w:pPr>
  </w:style>
  <w:style w:type="character" w:customStyle="1" w:styleId="23">
    <w:name w:val="批注框文本 Char"/>
    <w:basedOn w:val="14"/>
    <w:link w:val="7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4">
    <w:name w:val="Char Char9 Char Char"/>
    <w:basedOn w:val="1"/>
    <w:qFormat/>
    <w:uiPriority w:val="0"/>
    <w:rPr>
      <w:rFonts w:ascii="仿宋_GB2312" w:hAnsi="Times New Roman" w:cs="Times New Roman"/>
      <w:b/>
      <w:szCs w:val="32"/>
    </w:rPr>
  </w:style>
  <w:style w:type="character" w:customStyle="1" w:styleId="25">
    <w:name w:val="批注文字 Char"/>
    <w:basedOn w:val="14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6">
    <w:name w:val="批注主题 Char"/>
    <w:basedOn w:val="25"/>
    <w:link w:val="10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7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未处理的提及1"/>
    <w:basedOn w:val="1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30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31">
    <w:name w:val="Unresolved Mention"/>
    <w:basedOn w:val="1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theme" Target="theme/theme1.xml"/><Relationship Id="rId12" Type="http://schemas.openxmlformats.org/officeDocument/2006/relationships/footer" Target="footer3.xml"/><Relationship Id="rId11" Type="http://schemas.openxmlformats.org/officeDocument/2006/relationships/header" Target="header7.xml"/><Relationship Id="rId10" Type="http://schemas.openxmlformats.org/officeDocument/2006/relationships/header" Target="head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7</Pages>
  <Words>2386</Words>
  <Characters>2476</Characters>
  <Lines>102</Lines>
  <Paragraphs>28</Paragraphs>
  <TotalTime>1</TotalTime>
  <ScaleCrop>false</ScaleCrop>
  <LinksUpToDate>false</LinksUpToDate>
  <CharactersWithSpaces>2674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朱玲</cp:lastModifiedBy>
  <cp:lastPrinted>2025-03-11T03:20:00Z</cp:lastPrinted>
  <dcterms:modified xsi:type="dcterms:W3CDTF">2025-03-24T06:41:30Z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KSOTemplateDocerSaveRecord">
    <vt:lpwstr>eyJoZGlkIjoiM2Q1ODkzZDNlMTdmMjgzYjNkMjA4NjFjNjNjMGM4N2YifQ==</vt:lpwstr>
  </property>
  <property fmtid="{D5CDD505-2E9C-101B-9397-08002B2CF9AE}" pid="4" name="ICV">
    <vt:lpwstr>CE0C40BA40AA4924B4C8EE11BC3CDCA8_13</vt:lpwstr>
  </property>
</Properties>
</file>